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7BB1E919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92393E">
        <w:rPr>
          <w:b/>
          <w:i/>
          <w:iCs/>
          <w:color w:val="FF0000"/>
          <w:sz w:val="36"/>
          <w:szCs w:val="36"/>
        </w:rPr>
        <w:t>5 novembre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4CD950D4" w:rsidR="0071432A" w:rsidRDefault="0092393E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La Côte Bleue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>
        <w:rPr>
          <w:b/>
          <w:i/>
          <w:iCs/>
          <w:color w:val="FF0000"/>
          <w:sz w:val="36"/>
          <w:szCs w:val="36"/>
        </w:rPr>
        <w:t xml:space="preserve"> Les Forts de </w:t>
      </w:r>
      <w:proofErr w:type="spellStart"/>
      <w:r>
        <w:rPr>
          <w:b/>
          <w:i/>
          <w:iCs/>
          <w:color w:val="FF0000"/>
          <w:sz w:val="36"/>
          <w:szCs w:val="36"/>
        </w:rPr>
        <w:t>Figuerolles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et de </w:t>
      </w:r>
      <w:proofErr w:type="spellStart"/>
      <w:r>
        <w:rPr>
          <w:b/>
          <w:i/>
          <w:iCs/>
          <w:color w:val="FF0000"/>
          <w:sz w:val="36"/>
          <w:szCs w:val="36"/>
        </w:rPr>
        <w:t>Niolon</w:t>
      </w:r>
      <w:proofErr w:type="spellEnd"/>
    </w:p>
    <w:p w14:paraId="5AB97A13" w14:textId="0D3A69FE" w:rsidR="00C61EEF" w:rsidRPr="00FB57F8" w:rsidRDefault="0092393E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88A12" wp14:editId="3F39C9EA">
            <wp:simplePos x="0" y="0"/>
            <wp:positionH relativeFrom="column">
              <wp:posOffset>3533775</wp:posOffset>
            </wp:positionH>
            <wp:positionV relativeFrom="paragraph">
              <wp:posOffset>271780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648448869" name="Image 648448869" descr="calanque de figuero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nque de figuerol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6CAA" w14:textId="67CC01B1" w:rsidR="008610FE" w:rsidRPr="00136639" w:rsidRDefault="0092393E" w:rsidP="00805487">
      <w:r>
        <w:rPr>
          <w:noProof/>
        </w:rPr>
        <w:drawing>
          <wp:anchor distT="0" distB="0" distL="114300" distR="114300" simplePos="0" relativeHeight="251658240" behindDoc="1" locked="0" layoutInCell="1" allowOverlap="1" wp14:anchorId="40C2393B" wp14:editId="6D522BC1">
            <wp:simplePos x="0" y="0"/>
            <wp:positionH relativeFrom="column">
              <wp:posOffset>285750</wp:posOffset>
            </wp:positionH>
            <wp:positionV relativeFrom="paragraph">
              <wp:posOffset>6350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101386241" name="Image 1" descr="persoREMY - Le resquiadou( l'Estaque),sa calanque,le cap Ragnan, le port de  la Vesse, le Port de Niolon, le fort de Figuerol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REMY - Le resquiadou( l'Estaque),sa calanque,le cap Ragnan, le port de  la Vesse, le Port de Niolon, le fort de Figueroll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B1" w:rsidRPr="00995013">
        <w:t>IGN</w:t>
      </w:r>
      <w:r w:rsidR="007C0A25" w:rsidRPr="00995013">
        <w:t> :</w:t>
      </w:r>
      <w:r w:rsidR="00E043B1" w:rsidRPr="00995013">
        <w:t xml:space="preserve"> </w:t>
      </w:r>
    </w:p>
    <w:p w14:paraId="7FD5E95E" w14:textId="69DD1F95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79CD5471" w:rsidR="003E7FD8" w:rsidRPr="0065155C" w:rsidRDefault="00136639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12.5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486C9BCF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</w:t>
            </w:r>
            <w:r w:rsidR="00136639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9B97DE0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B635B9" w:rsidRPr="00B635B9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3588BB5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T2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42118AF5" w:rsidR="003E7FD8" w:rsidRPr="0065155C" w:rsidRDefault="00136639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560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5EB80693" w:rsidR="003E7FD8" w:rsidRPr="0065155C" w:rsidRDefault="0013663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27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013D63DF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AFCA4EE" w14:textId="4DED5FAA" w:rsidR="005F2134" w:rsidRPr="001D48C2" w:rsidRDefault="00136639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Construits pour défendre la rade de Marseille, les Forts de </w:t>
            </w:r>
            <w:proofErr w:type="spellStart"/>
            <w:r>
              <w:rPr>
                <w:bCs/>
                <w:i/>
                <w:iCs/>
              </w:rPr>
              <w:t>Figuerolles</w:t>
            </w:r>
            <w:proofErr w:type="spellEnd"/>
            <w:r>
              <w:rPr>
                <w:bCs/>
                <w:i/>
                <w:iCs/>
              </w:rPr>
              <w:t xml:space="preserve"> et de </w:t>
            </w:r>
            <w:proofErr w:type="spellStart"/>
            <w:r>
              <w:rPr>
                <w:bCs/>
                <w:i/>
                <w:iCs/>
              </w:rPr>
              <w:t>Niolon</w:t>
            </w:r>
            <w:proofErr w:type="spellEnd"/>
            <w:r>
              <w:rPr>
                <w:bCs/>
                <w:i/>
                <w:iCs/>
              </w:rPr>
              <w:t xml:space="preserve"> n’ont pas eu d’heure de gloire</w:t>
            </w:r>
            <w:r w:rsidR="00DE3D3B">
              <w:rPr>
                <w:bCs/>
                <w:i/>
                <w:iCs/>
              </w:rPr>
              <w:t xml:space="preserve"> mais ils attirent toujours le randonneur en quête de grandioses panoramas</w:t>
            </w:r>
            <w:r w:rsidR="00B4345D">
              <w:rPr>
                <w:bCs/>
                <w:i/>
                <w:iCs/>
              </w:rPr>
              <w:t xml:space="preserve"> maritimes</w:t>
            </w:r>
            <w:r w:rsidR="00DE3D3B">
              <w:rPr>
                <w:bCs/>
                <w:i/>
                <w:iCs/>
              </w:rPr>
              <w:t>.</w:t>
            </w:r>
          </w:p>
          <w:p w14:paraId="0C37E8A8" w14:textId="5BB5424E" w:rsidR="001D48C2" w:rsidRPr="00C91D46" w:rsidRDefault="00B25002" w:rsidP="00BD74D5">
            <w:pPr>
              <w:jc w:val="both"/>
              <w:rPr>
                <w:b/>
                <w:i/>
                <w:iCs/>
              </w:rPr>
            </w:pPr>
            <w:r w:rsidRPr="009D7F6C">
              <w:rPr>
                <w:b/>
                <w:color w:val="FF0000"/>
              </w:rPr>
              <w:t xml:space="preserve">Rando </w:t>
            </w:r>
            <w:r w:rsidR="00DE3D3B">
              <w:rPr>
                <w:b/>
                <w:color w:val="FF0000"/>
              </w:rPr>
              <w:t>sans difficulté particulière devenant technique dans son dernier tiers où certains passages nécessitent l’usage des mains.</w:t>
            </w:r>
          </w:p>
        </w:tc>
      </w:tr>
    </w:tbl>
    <w:p w14:paraId="437140AD" w14:textId="2B33FB35" w:rsidR="002D2923" w:rsidRDefault="002D2923">
      <w:pPr>
        <w:ind w:left="840" w:hanging="132"/>
        <w:rPr>
          <w:b/>
        </w:rPr>
      </w:pPr>
    </w:p>
    <w:p w14:paraId="4CAD0405" w14:textId="77777777" w:rsidR="007A262E" w:rsidRPr="00995013" w:rsidRDefault="007A262E">
      <w:pPr>
        <w:ind w:left="840" w:hanging="132"/>
        <w:rPr>
          <w:b/>
        </w:rPr>
      </w:pPr>
    </w:p>
    <w:p w14:paraId="0DCF0127" w14:textId="35119C28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DE3D3B">
        <w:rPr>
          <w:rStyle w:val="Accentuation"/>
        </w:rPr>
        <w:t>Rognac, Autoroute A7 puis A55 direction Martigues – Sortie Le Rove – traverser Le Rove en direction de Marseille – parking sur la droite juste à la sortie du tunnel à l’</w:t>
      </w:r>
      <w:proofErr w:type="spellStart"/>
      <w:r w:rsidR="00DE3D3B">
        <w:rPr>
          <w:rStyle w:val="Accentuation"/>
        </w:rPr>
        <w:t>Establon</w:t>
      </w:r>
      <w:proofErr w:type="spellEnd"/>
      <w:r w:rsidR="00DE3D3B">
        <w:rPr>
          <w:rStyle w:val="Accentuation"/>
        </w:rPr>
        <w:t>.</w:t>
      </w:r>
    </w:p>
    <w:p w14:paraId="62395970" w14:textId="6587E242" w:rsidR="007A262E" w:rsidRPr="00995013" w:rsidRDefault="00B41860" w:rsidP="00DE3D3B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CF677D">
        <w:rPr>
          <w:rStyle w:val="Accentuation"/>
        </w:rPr>
        <w:t xml:space="preserve"> </w:t>
      </w:r>
      <w:r w:rsidR="005170EF">
        <w:rPr>
          <w:rStyle w:val="Accentuation"/>
        </w:rPr>
        <w:t>N</w:t>
      </w:r>
      <w:r w:rsidR="00755FBB">
        <w:rPr>
          <w:rStyle w:val="Accentuation"/>
        </w:rPr>
        <w:t xml:space="preserve"> </w:t>
      </w:r>
      <w:r w:rsidR="005170EF">
        <w:rPr>
          <w:rStyle w:val="Accentuation"/>
        </w:rPr>
        <w:t>43.</w:t>
      </w:r>
      <w:r w:rsidR="00DE3D3B">
        <w:rPr>
          <w:rStyle w:val="Accentuation"/>
        </w:rPr>
        <w:t>354539</w:t>
      </w:r>
      <w:r w:rsidR="00151904">
        <w:rPr>
          <w:rStyle w:val="Accentuation"/>
        </w:rPr>
        <w:t xml:space="preserve"> </w:t>
      </w:r>
      <w:r w:rsidR="00755FBB">
        <w:rPr>
          <w:rStyle w:val="Accentuation"/>
        </w:rPr>
        <w:t xml:space="preserve">– </w:t>
      </w:r>
      <w:r w:rsidR="00151904">
        <w:rPr>
          <w:rStyle w:val="Accentuation"/>
        </w:rPr>
        <w:t>E</w:t>
      </w:r>
      <w:r w:rsidR="00755FBB">
        <w:rPr>
          <w:rStyle w:val="Accentuation"/>
        </w:rPr>
        <w:t xml:space="preserve"> </w:t>
      </w:r>
      <w:r w:rsidR="00151904">
        <w:rPr>
          <w:rStyle w:val="Accentuation"/>
        </w:rPr>
        <w:t>5.</w:t>
      </w:r>
      <w:r w:rsidR="00DE3D3B">
        <w:rPr>
          <w:rStyle w:val="Accentuation"/>
        </w:rPr>
        <w:t>281861</w:t>
      </w:r>
    </w:p>
    <w:p w14:paraId="16F19ADF" w14:textId="77777777" w:rsidR="00B4345D" w:rsidRDefault="00B4345D" w:rsidP="00995013">
      <w:pPr>
        <w:rPr>
          <w:b/>
          <w:i/>
          <w:u w:val="single"/>
        </w:rPr>
      </w:pPr>
    </w:p>
    <w:p w14:paraId="1B69F7E2" w14:textId="189E961D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95013">
        <w:rPr>
          <w:b/>
          <w:i/>
        </w:rPr>
        <w:t xml:space="preserve">Claude </w:t>
      </w:r>
      <w:r w:rsidR="000E6493">
        <w:rPr>
          <w:b/>
          <w:i/>
        </w:rPr>
        <w:t xml:space="preserve">et Catherine </w:t>
      </w:r>
      <w:r w:rsidR="006E176B" w:rsidRPr="00995013">
        <w:rPr>
          <w:b/>
          <w:i/>
        </w:rPr>
        <w:t>COSTE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proofErr w:type="gramStart"/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AE6E92" w:rsidRPr="00995013">
        <w:rPr>
          <w:b/>
          <w:bCs/>
          <w:i/>
        </w:rPr>
        <w:t> </w:t>
      </w:r>
      <w:r w:rsidR="00357B69" w:rsidRPr="00995013">
        <w:rPr>
          <w:b/>
          <w:bCs/>
          <w:i/>
        </w:rPr>
        <w:t>Claude</w:t>
      </w:r>
      <w:proofErr w:type="gramEnd"/>
      <w:r w:rsidR="00507713">
        <w:rPr>
          <w:b/>
          <w:bCs/>
          <w:i/>
        </w:rPr>
        <w:t xml:space="preserve"> C.</w:t>
      </w:r>
      <w:r w:rsidR="00357B69" w:rsidRPr="00995013">
        <w:rPr>
          <w:b/>
          <w:bCs/>
          <w:i/>
        </w:rPr>
        <w:t xml:space="preserve"> 07 88 52 02 87</w:t>
      </w:r>
    </w:p>
    <w:p w14:paraId="3C920F54" w14:textId="0E9CFC4F" w:rsidR="007A262E" w:rsidRPr="00995013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03F3EAE8" w:rsidR="005B7921" w:rsidRDefault="005B7921">
      <w:pPr>
        <w:rPr>
          <w:b/>
          <w:i/>
          <w:sz w:val="28"/>
          <w:szCs w:val="28"/>
          <w:u w:val="single"/>
        </w:rPr>
      </w:pPr>
      <w:proofErr w:type="gramStart"/>
      <w:r w:rsidRPr="00995013">
        <w:rPr>
          <w:b/>
          <w:i/>
          <w:sz w:val="28"/>
          <w:szCs w:val="28"/>
          <w:u w:val="single"/>
        </w:rPr>
        <w:t>Infos  co</w:t>
      </w:r>
      <w:proofErr w:type="gramEnd"/>
      <w:r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91B2B74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4742C348" w:rsidR="008452FC" w:rsidRPr="00995013" w:rsidRDefault="00B4345D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</w:t>
            </w:r>
          </w:p>
        </w:tc>
        <w:tc>
          <w:tcPr>
            <w:tcW w:w="1480" w:type="dxa"/>
          </w:tcPr>
          <w:p w14:paraId="1F7CA6FB" w14:textId="6A1610E5" w:rsidR="005B7921" w:rsidRPr="00995013" w:rsidRDefault="00B4345D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54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04E56358" w:rsidR="005B7921" w:rsidRPr="00995013" w:rsidRDefault="008161BF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B4345D">
              <w:rPr>
                <w:b/>
                <w:i/>
                <w:sz w:val="22"/>
              </w:rPr>
              <w:t>3</w:t>
            </w:r>
            <w:r>
              <w:rPr>
                <w:b/>
                <w:i/>
                <w:sz w:val="22"/>
              </w:rPr>
              <w:t>.5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59F61E42" w:rsidR="005B7921" w:rsidRPr="00995013" w:rsidRDefault="00AA086D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B4345D">
              <w:rPr>
                <w:b/>
                <w:i/>
                <w:sz w:val="22"/>
              </w:rPr>
              <w:t>3</w:t>
            </w:r>
            <w:r>
              <w:rPr>
                <w:b/>
                <w:i/>
                <w:sz w:val="22"/>
              </w:rPr>
              <w:t>.5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3179E2CF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B4345D">
              <w:rPr>
                <w:b/>
                <w:i/>
                <w:sz w:val="20"/>
                <w:szCs w:val="20"/>
              </w:rPr>
              <w:t>6</w:t>
            </w:r>
            <w:r w:rsidR="00AA086D">
              <w:rPr>
                <w:b/>
                <w:i/>
                <w:sz w:val="20"/>
                <w:szCs w:val="20"/>
              </w:rPr>
              <w:t>.</w:t>
            </w:r>
            <w:r w:rsidR="00B4345D">
              <w:rPr>
                <w:b/>
                <w:i/>
                <w:sz w:val="20"/>
                <w:szCs w:val="20"/>
              </w:rPr>
              <w:t>80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B4345D">
              <w:rPr>
                <w:b/>
                <w:i/>
                <w:sz w:val="20"/>
                <w:szCs w:val="20"/>
              </w:rPr>
              <w:t>4</w:t>
            </w:r>
            <w:r w:rsidR="008E6F7F">
              <w:rPr>
                <w:b/>
                <w:i/>
                <w:sz w:val="20"/>
                <w:szCs w:val="20"/>
              </w:rPr>
              <w:t>.50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B4345D">
              <w:rPr>
                <w:b/>
                <w:i/>
                <w:sz w:val="20"/>
                <w:szCs w:val="20"/>
              </w:rPr>
              <w:t>3.40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B4345D">
              <w:rPr>
                <w:b/>
                <w:i/>
                <w:sz w:val="20"/>
                <w:szCs w:val="20"/>
              </w:rPr>
              <w:t>2.70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1922D35" w14:textId="74EE9E7F" w:rsidR="0092393E" w:rsidRDefault="0092393E" w:rsidP="0092393E"/>
    <w:sectPr w:rsidR="0092393E" w:rsidSect="00995013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5356E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36639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16590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3B8"/>
    <w:rsid w:val="005170EF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2FFD"/>
    <w:rsid w:val="00906D61"/>
    <w:rsid w:val="00911ED2"/>
    <w:rsid w:val="009159B9"/>
    <w:rsid w:val="0092393E"/>
    <w:rsid w:val="00926D72"/>
    <w:rsid w:val="0093127B"/>
    <w:rsid w:val="00933E84"/>
    <w:rsid w:val="0093689C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4345D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D06A7"/>
    <w:rsid w:val="00CD35DD"/>
    <w:rsid w:val="00CD5BA3"/>
    <w:rsid w:val="00CE570D"/>
    <w:rsid w:val="00CF022E"/>
    <w:rsid w:val="00CF382D"/>
    <w:rsid w:val="00CF677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E19DE"/>
    <w:rsid w:val="00DE3D3B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60EAA"/>
    <w:rsid w:val="00F61A99"/>
    <w:rsid w:val="00F643D7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3</cp:revision>
  <cp:lastPrinted>2022-10-10T07:42:00Z</cp:lastPrinted>
  <dcterms:created xsi:type="dcterms:W3CDTF">2023-10-30T08:27:00Z</dcterms:created>
  <dcterms:modified xsi:type="dcterms:W3CDTF">2023-10-30T08:35:00Z</dcterms:modified>
</cp:coreProperties>
</file>